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C2AD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C2AD3" w:rsidRDefault="005245A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C2AD3" w:rsidRDefault="005245A8">
            <w:pPr>
              <w:spacing w:after="0" w:line="240" w:lineRule="auto"/>
            </w:pPr>
            <w:r>
              <w:t>47949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C2AD3" w:rsidRDefault="005245A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C2AD3" w:rsidRDefault="005245A8">
            <w:pPr>
              <w:spacing w:after="0" w:line="240" w:lineRule="auto"/>
            </w:pPr>
            <w:r>
              <w:t>Art-kino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C2AD3" w:rsidRDefault="005245A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C2AD3" w:rsidRDefault="005245A8">
            <w:pPr>
              <w:spacing w:after="0" w:line="240" w:lineRule="auto"/>
            </w:pPr>
            <w:r>
              <w:t>21</w:t>
            </w:r>
          </w:p>
        </w:tc>
      </w:tr>
    </w:tbl>
    <w:p w:rsidR="00BC2AD3" w:rsidRDefault="005245A8">
      <w:r>
        <w:br/>
      </w:r>
    </w:p>
    <w:p w:rsidR="00BC2AD3" w:rsidRDefault="005245A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C2AD3" w:rsidRDefault="005245A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C2AD3" w:rsidRDefault="005245A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824.556,50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1.075.645,08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859.064,56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978.618,96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97.026,12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31.101,59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79,7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OD </w:t>
            </w:r>
            <w:r>
              <w:rPr>
                <w:b/>
                <w:sz w:val="18"/>
              </w:rPr>
              <w:t>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31.101,59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24.779,09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79,7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72.247,03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U razdoblju 01.01.2025. – 31.12.2025. prihodi poslovanja ostvareni su u iznosu 1.075.645,08 eura, što je 30,5% više u odnosu na ostvareno u izvještajnom razdoblju prethodne godine. Značajna povećanje prihoda poslovanja ostvarena su od:</w:t>
      </w:r>
    </w:p>
    <w:p w:rsidR="00BC2AD3" w:rsidRDefault="005245A8">
      <w:r>
        <w:t>-        prihoda nad</w:t>
      </w:r>
      <w:r>
        <w:t>ležnog proračuna za financiranje rashoda poslovanja – Povećanje se većinski odnosi na povećanje plaća za 20,01% s plaćom za prosinac 2024. godine koja je isplaćena u siječnju 2025. , te dodatnog povećanja od 6,7% od travnja 2025. godine.</w:t>
      </w:r>
    </w:p>
    <w:p w:rsidR="00BC2AD3" w:rsidRDefault="005245A8">
      <w:r>
        <w:lastRenderedPageBreak/>
        <w:t>-        prihoda o</w:t>
      </w:r>
      <w:r>
        <w:t xml:space="preserve">d prodaje ulaznica (šifra 6526), a zbog velikog interesa publike za dokumentarno-igrani film </w:t>
      </w:r>
      <w:proofErr w:type="spellStart"/>
      <w:r>
        <w:t>Fiume</w:t>
      </w:r>
      <w:proofErr w:type="spellEnd"/>
      <w:r>
        <w:t xml:space="preserve"> o morte!.</w:t>
      </w:r>
    </w:p>
    <w:p w:rsidR="00BC2AD3" w:rsidRDefault="005245A8">
      <w:r>
        <w:t xml:space="preserve">-        pomoći od međunarodnih organizacija te institucija i tijela EU i odnose se na projekt REEL – INTERREG Italija – Hrvatska 2021.-2027. koji </w:t>
      </w:r>
      <w:r>
        <w:t>započeo je u ožujku 2024. godine. U 2025. godini isplaćena su dva ZNS (zahtjev za nadoknadom sredstava), dok je u 2024. godini isplaćen samo ZNS 1, što je rezultat dinamike projekta, ali i činjenice da su se aktivnosti u 2025. godini razvile.</w:t>
      </w:r>
    </w:p>
    <w:p w:rsidR="00BC2AD3" w:rsidRDefault="005245A8">
      <w:r>
        <w:t>Najznačajnije</w:t>
      </w:r>
      <w:r>
        <w:t xml:space="preserve"> smanjenje prihoda poslovanja se odnosi na tekuće donacije, a zbog izostanka donacije koju je Art-kino dobilo u 2024. godini</w:t>
      </w:r>
    </w:p>
    <w:p w:rsidR="00BC2AD3" w:rsidRDefault="005245A8">
      <w:r>
        <w:t xml:space="preserve">Rashodi poslovanja u razdoblju 01.01.2025. – 31.12.2025. ostvareni su u iznosu od 978.618,96 eura. Najznačajnije povećanje rashoda </w:t>
      </w:r>
      <w:r>
        <w:t xml:space="preserve">evidentirano je na rashodima za zaposlene uslijed povećanja plaća. Najznačajnija smanjenja rashoda poslovanja bilježe se na rashodima za usluge tekućeg i investicijskog održavanja budući da su završeni pripremni radovi u </w:t>
      </w:r>
      <w:proofErr w:type="spellStart"/>
      <w:r>
        <w:t>novodobivenom</w:t>
      </w:r>
      <w:proofErr w:type="spellEnd"/>
      <w:r>
        <w:t xml:space="preserve"> prostoru u Krešimirov</w:t>
      </w:r>
      <w:r>
        <w:t>oj 10a te na rashodima za službena putovanja, a zbog različitih programskih potreba.</w:t>
      </w:r>
    </w:p>
    <w:p w:rsidR="00BC2AD3" w:rsidRDefault="005245A8">
      <w:r>
        <w:t>U navedenom razdoblju bilježi se rast rashoda za nabavu nematerijalne imovine i odnosi se na trošak izrade glavnog projekta s troškovnikom za poslovni prostor u Krešimirov</w:t>
      </w:r>
      <w:r>
        <w:t>oj 10a. U razdoblju 01.01.2025. – 31.12.2025. iskazan je višak prihoda i primitaka raspoloživ u sljedećem razdoblju šifra X006 u iznosu 60.078,98 eura, a čine ga:</w:t>
      </w:r>
    </w:p>
    <w:p w:rsidR="00BC2AD3" w:rsidRDefault="005245A8">
      <w:r>
        <w:t>- šifra X001 – višak prihoda poslovanja  97.026,12 eura,  </w:t>
      </w:r>
    </w:p>
    <w:p w:rsidR="00BC2AD3" w:rsidRDefault="005245A8">
      <w:r>
        <w:t>- šifra 92221 – manjak prihoda pos</w:t>
      </w:r>
      <w:r>
        <w:t>lovanja – preneseni 39.469,97 eura</w:t>
      </w:r>
    </w:p>
    <w:p w:rsidR="00BC2AD3" w:rsidRDefault="005245A8">
      <w:r>
        <w:t>- šifra Y002 – manjak prihoda od nefinancijske imovine 24.779,09 eura</w:t>
      </w:r>
    </w:p>
    <w:p w:rsidR="00BC2AD3" w:rsidRDefault="005245A8">
      <w:r>
        <w:t>- šifra 92212 – višak prihoda od nefinancijske imovine – preneseni 27.301,92 eura</w:t>
      </w:r>
    </w:p>
    <w:p w:rsidR="00BC2AD3" w:rsidRDefault="005245A8">
      <w:r>
        <w:br/>
      </w:r>
    </w:p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13.057,73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51.265,77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392,6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-        Projekt REEL – INTERREG Italija – Hrvatska 2021.-2027. započeo je u ožujku 2024. godine. Izvještajno razdoblje traje šest mjeseci. U 2025. godini isplaćena su dva ZNS (zahtjev za nadoknadom sredstava), dok je u 2024. godini isplaćen samo ZNS 1, št</w:t>
      </w:r>
      <w:r>
        <w:t>o je rezultat dinamike projekta, ali i činjenice da su se aktivnosti u 2025. godini razvile.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Prijenosi između proračunskih korisnika istog proračuna – Temeljem zaključka Gradonačelnika o dobitnicima Povelja i pohvala za naj-akciju iz 2024. godine prenesena su sredstva u iznosu 450,00 eura u 2025. godini.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92.843,60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148.869,50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160,3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Ostali nespomenuti prihodi su prihodi od prodaje ulaznica. U odnosu na prethodnu godinu predmetni su prihodi veći za 60,3% zbog velikog interesa publike za dokumentarno-igrani film </w:t>
      </w:r>
      <w:proofErr w:type="spellStart"/>
      <w:r>
        <w:t>Fiume</w:t>
      </w:r>
      <w:proofErr w:type="spellEnd"/>
      <w:r>
        <w:t xml:space="preserve"> o morte!. Film je do kraja godine pogledalo preko 20.000 gledatelja.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Prihodi od pruženih usluga veći su za 70,2%  i iznose 17.800,00 eura. Radi se o većem  broju programskih suradnji u odnosu na prethodnu godinu zbog izostanka donacije koju je Art-kino dobilo u 2024. godini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28.876,13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66,6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Tekuće donacije – bilježi se smanjenje u odnosu na prošlu godinu zbog raskoraka u dinamici isplate donacije od strane mreže Europa </w:t>
      </w:r>
      <w:proofErr w:type="spellStart"/>
      <w:r>
        <w:t>Cinemas</w:t>
      </w:r>
      <w:proofErr w:type="spellEnd"/>
      <w:r>
        <w:t xml:space="preserve"> čiji smo član.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589.714,95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738.739,01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Prihodi iz nadležnog proračuna za financiranje rashoda poslovanja veći su za 25,3%. Povećanje je rezultat povećanja osnovice plaća sukladno potpisanom Kolektivnom ugovoru za zaposlene u ustanovama u kulturi Grada Rijeke te porasta cijena većine usluga nužn</w:t>
      </w:r>
      <w:r>
        <w:t>ih za redovno poslovanje.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</w:t>
            </w:r>
            <w:r>
              <w:rPr>
                <w:sz w:val="18"/>
              </w:rPr>
              <w:t>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15.974,16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23.625,17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Prihodi iz nadležnog proračuna za financiranje rashoda za nabavu nefinancijske imovine odnose se na podmirenje prošlogodišnjih troškova te podmirenje troška izrade glavnog projekta s troškovnikom za </w:t>
      </w:r>
      <w:proofErr w:type="spellStart"/>
      <w:r>
        <w:t>novodobiveni</w:t>
      </w:r>
      <w:proofErr w:type="spellEnd"/>
      <w:r>
        <w:t xml:space="preserve"> poslovni prostor u Krešimirovoj 10a.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448.794,36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549.473,99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Rashodi za zaposlene  bilježe rast za 22,4 % što je povezano s povećanjem osnovice plaća sukladno Kolektivnom ugovoru za zaposlene u ustanovama u kulturi Grada Rijeke.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13.075,86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69,8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Rashodi iznose 9.125,82 eura i manji su u odnosu na prošlu godinu za 30,2%  zbog različitih programskih potreba.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9.328,94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11.014,40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Naknade za prijevoz veće su za 18,1% zbog viših cijena mjesečnih radničkih pokaznih karata.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239,6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Materijal i dijelovi za tekuće i investicijsko održavanje iznose 2.782,18 eura i veći su u odnosu na isto razdoblje prošle godine zbog nužne sanacije i hitnih radova tekućeg održavanja.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70,2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Bilježi se smanjenje rashoda od 29,8 % zbog sklapanja povoljnijih ugovora s pružateljima telekomunikacijskih i internet usluga.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43.528,21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19.706,05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45,3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Usluge tekućeg i investicijskog održavanja  - Troškovi u 2025. godini su manji za 54,7% budući da je u 2024. godini završen veći dio pripremnih radova u </w:t>
      </w:r>
      <w:proofErr w:type="spellStart"/>
      <w:r>
        <w:t>novodobivenom</w:t>
      </w:r>
      <w:proofErr w:type="spellEnd"/>
      <w:r>
        <w:t xml:space="preserve"> prostoru u Krešimirovoj 10a, te je iste godine obavljen servis na kombiju preuzetom od Gr</w:t>
      </w:r>
      <w:r>
        <w:t>ada Rijeke.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24.282,98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17.212,48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Usluge promidžbe i informiranja bilježe smanjenje od 29,1% u odnosu na ostvareno u izvještajnom razdoblju prethodne godine budući da nije bilo oglašavanja vezanog za projekt „Krenimo od nule!“ koji je i završio u 2024. godini.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U 2025. godini nije bio organiziran sistematski pregled radnika.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Intelektualne i </w:t>
            </w:r>
            <w:r>
              <w:rPr>
                <w:sz w:val="18"/>
              </w:rPr>
              <w:t>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174.172,54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233.730,57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Rashodi za intelektualne i osobne usluge su veći za 34,2 %  zbog veće programske aktivnosti, većih troškova intelektualnih i osobnih usluga koji većinski obuhvaćaju prikazivačka prava te zbog porasta minimalne studentske satnice.</w:t>
      </w:r>
    </w:p>
    <w:p w:rsidR="00BC2AD3" w:rsidRDefault="005245A8">
      <w:r>
        <w:t> 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10.015,42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Računalne usluge veće su za 40,4% zbog potreba projekta REEL – INTERREG Italija – Hrvatska 2021.-2027.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Reprezentacija – Troškovi su manji  većinski zbog različitog načina knjiženja materijala za potrebe redovnog poslovanja koje je u prethodnom razdoblju knjiženo na reprezentaciju, a odnosi se na trošak nabave pića za potrebe premijera.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Pristojbe i naknade iznose 67,90 eura i  odnose se na ovjere javnih bilježnika i nabavu UK viza u okviru Kvarnerske filmske komisije.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Ostala prava – Odnose se na trošak izrade glavnog projekta s troškovnikom za poslovni prostor u Krešimirovoj 10a.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14.884,56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U ovom izvještajnom razdoblju nije bilo nabave uredske opreme i namještaja.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Komunikacijska oprema je nabavljena većim dijelom za potrebe projekta REEL - A </w:t>
      </w:r>
      <w:proofErr w:type="spellStart"/>
      <w:r>
        <w:t>cinematic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Croatia u okviru programa prekogranične suradnje </w:t>
      </w:r>
      <w:proofErr w:type="spellStart"/>
      <w:r>
        <w:t>Interreg</w:t>
      </w:r>
      <w:proofErr w:type="spellEnd"/>
      <w:r>
        <w:t xml:space="preserve"> Italija – Hrvatska  2021. – 2027.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13.386,04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13,7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Nabavljeno je novo platno za vanjske projekcije u iznosu 1.827,50 eura.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</w:t>
            </w:r>
            <w:r>
              <w:rPr>
                <w:sz w:val="18"/>
              </w:rPr>
              <w:t>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60.078,98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U razdoblju 01.01.2025. – 31.12.2025. iskazan je višak prihoda i primitaka raspoloživ u sljedećem razdoblju šifra X006 u iznosu 60.078,98 eura, a čine ga višak prihoda poslovanja  u iznosu 97.026,12 eura,  manjak prihoda poslovanja – preneseni 39.469,97 eu</w:t>
      </w:r>
      <w:r>
        <w:t>ra, manjak prihoda od nefinancijske imovine 24.779,09 eura i višak prihoda od nefinancijske imovine – preneseni 27.301,92 eura.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IMOVINA (šifre </w:t>
            </w:r>
            <w:r>
              <w:rPr>
                <w:sz w:val="18"/>
              </w:rPr>
              <w:t>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225.314,23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288.181,43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Vrijednost imovine u 2025. godini veća je za 27,9 % u odnosu na prethodno izvještajno razdoblje te iznosi 288.181,43 eura.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144.137,24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142.621,90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1.1.  NEFINANCIJSKA IMOVINA – šifra B002</w:t>
      </w:r>
    </w:p>
    <w:p w:rsidR="00BC2AD3" w:rsidRDefault="005245A8">
      <w:r>
        <w:t>Vrijednost nefinancijske imovine  iznosi 142.621,90 euro što je smanjenje od 1,1% u odnosu na početno stanje. U 2025. godini nabavljena je nefinancijska imovina u vrijednosti 24.779,09 eura, te je izvršeno usklađenje u knjižničnom fondu prema Zapisniku o r</w:t>
      </w:r>
      <w:r>
        <w:t xml:space="preserve">eviziji fonda. Proveden je godišnji ispravak vrijednosti u iznosu 44.208,98 eura. Uslijed neuporabljivosti, zastarjelosti, tehničke neispravnosti te neisplativosti popravka, predloženo je rashodovanje imovine bez sadašnje vrijednosti. </w:t>
      </w:r>
      <w:proofErr w:type="spellStart"/>
      <w:r>
        <w:t>Isknjiženje</w:t>
      </w:r>
      <w:proofErr w:type="spellEnd"/>
      <w:r>
        <w:t xml:space="preserve"> će se pro</w:t>
      </w:r>
      <w:r>
        <w:t>vesti po zbrinjavanju opreme u 2026. godini.</w:t>
      </w:r>
    </w:p>
    <w:p w:rsidR="00BC2AD3" w:rsidRDefault="005245A8">
      <w:r>
        <w:t>Art-kino je tijekom 2025. godine nabavilo slijedeću nefinancijsku imovinu:</w:t>
      </w:r>
    </w:p>
    <w:p w:rsidR="00BC2AD3" w:rsidRDefault="005245A8">
      <w: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2AD3">
        <w:trPr>
          <w:trHeight w:val="540"/>
        </w:trPr>
        <w:tc>
          <w:tcPr>
            <w:tcW w:w="1666" w:type="pct"/>
            <w:vAlign w:val="center"/>
          </w:tcPr>
          <w:p w:rsidR="00BC2AD3" w:rsidRDefault="005245A8">
            <w:r>
              <w:t>KONTO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Naziv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Iznos</w:t>
            </w:r>
          </w:p>
        </w:tc>
      </w:tr>
      <w:tr w:rsidR="00BC2AD3">
        <w:trPr>
          <w:trHeight w:val="540"/>
        </w:trPr>
        <w:tc>
          <w:tcPr>
            <w:tcW w:w="1666" w:type="pct"/>
            <w:vAlign w:val="center"/>
          </w:tcPr>
          <w:p w:rsidR="00BC2AD3" w:rsidRDefault="005245A8">
            <w:r>
              <w:t>0551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 xml:space="preserve">Ostala nematerijalna </w:t>
            </w:r>
            <w:proofErr w:type="spellStart"/>
            <w:r>
              <w:t>proizv</w:t>
            </w:r>
            <w:proofErr w:type="spellEnd"/>
            <w:r>
              <w:t>. imovina u pripremi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21.250,00</w:t>
            </w:r>
          </w:p>
        </w:tc>
      </w:tr>
      <w:tr w:rsidR="00BC2AD3">
        <w:trPr>
          <w:trHeight w:val="540"/>
        </w:trPr>
        <w:tc>
          <w:tcPr>
            <w:tcW w:w="1666" w:type="pct"/>
            <w:vAlign w:val="center"/>
          </w:tcPr>
          <w:p w:rsidR="00BC2AD3" w:rsidRDefault="005245A8">
            <w:r>
              <w:t>0222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Komunikacijska oprema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1.602,00</w:t>
            </w:r>
          </w:p>
        </w:tc>
      </w:tr>
      <w:tr w:rsidR="00BC2AD3">
        <w:trPr>
          <w:trHeight w:val="540"/>
        </w:trPr>
        <w:tc>
          <w:tcPr>
            <w:tcW w:w="1666" w:type="pct"/>
            <w:vAlign w:val="center"/>
          </w:tcPr>
          <w:p w:rsidR="00BC2AD3" w:rsidRDefault="005245A8">
            <w:r>
              <w:t>0227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Uređaji, strojevi i oprema za ostale namjene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1.827,50</w:t>
            </w:r>
          </w:p>
        </w:tc>
      </w:tr>
      <w:tr w:rsidR="00BC2AD3">
        <w:trPr>
          <w:trHeight w:val="540"/>
        </w:trPr>
        <w:tc>
          <w:tcPr>
            <w:tcW w:w="1666" w:type="pct"/>
            <w:vAlign w:val="center"/>
          </w:tcPr>
          <w:p w:rsidR="00BC2AD3" w:rsidRDefault="005245A8">
            <w:r>
              <w:t>0241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Knjige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99,59</w:t>
            </w:r>
          </w:p>
        </w:tc>
      </w:tr>
      <w:tr w:rsidR="00BC2AD3">
        <w:trPr>
          <w:trHeight w:val="540"/>
        </w:trPr>
        <w:tc>
          <w:tcPr>
            <w:tcW w:w="1666" w:type="pct"/>
            <w:vAlign w:val="center"/>
          </w:tcPr>
          <w:p w:rsidR="00BC2AD3" w:rsidRDefault="005245A8">
            <w:r>
              <w:t> 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UKUPNO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24.779,09</w:t>
            </w:r>
          </w:p>
        </w:tc>
      </w:tr>
    </w:tbl>
    <w:p w:rsidR="00BC2AD3" w:rsidRDefault="005245A8">
      <w:r>
        <w:br/>
        <w:t> </w:t>
      </w:r>
    </w:p>
    <w:p w:rsidR="00BC2AD3" w:rsidRDefault="005245A8">
      <w:r>
        <w:t>Osim nabave nove opreme i knjiga, Art-kino je od ovlaštenog arhitekta naručilo izradu glavnog projekta s troškovnikom za poslovni prostor na adresi Krešimirova</w:t>
      </w:r>
      <w:r>
        <w:t xml:space="preserve"> 10a čija je nabavna vrijednost 21.250,00 eura. Navedena usluga evidentirana je kao Ostala nematerijalna proizvedena imovina u pripremi.</w:t>
      </w:r>
    </w:p>
    <w:p w:rsidR="00BC2AD3" w:rsidRDefault="005245A8">
      <w:r>
        <w:t>U 2025. godine nabavljen je sitni inventar u vrijednosti 5.145,02 eura.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Šifra 1636 -  Potraživanja za pomoći proračunskim korisnicima iz proračuna koji im nije nadležan iznose 11.380,00 eura, a odnose se na potraživanja od Hrvatskog audiovizualnog centra, a temeljem ugovora o sufinanciranju, sklopljenih 8. siječnja 2025. godin</w:t>
      </w:r>
      <w:r>
        <w:t>e prema kojima će se preostalih 20% ugovorene pomoći isplatiti po završetku projekta nakon podnesenog izvještaja. Sredstva će stići u 2026. godini.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80.087,48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133.427,84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166,6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Potraživanja proračunskih korisnika za sredstva uplaćena u nadležni proračun veća su za 66,6% i posljedica su većih prihoda, većinski prihoda od ulaznica.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44.621,13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45.223,43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101,3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Šifra 231 – Obveze za zaposlene na razini su obveza s početka razdoblja i odnose se na nedospjelu plaću za prosinac.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45.253,35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24.379,74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Šifra 232 – Obveze za materijalne rashode manje su za 46,1%  i odnose se na neplaćene obveze po računima koji su stigli iza roka za dostavu zahtjeva za plaćanje u 2025. godini </w:t>
      </w:r>
      <w:r>
        <w:lastRenderedPageBreak/>
        <w:t>(16.12.2025.). Radi se o računima za usluge te za materijal i energiju. Ove obve</w:t>
      </w:r>
      <w:r>
        <w:t>ze su većinski nedospjele.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Šifra 239 – Ostale tekuće obveze manje su za 54,1% odnosno za 1.485,26 eura, a odnose se na PDV za 12/2025. Također, prošle godine u ovoj obvezi bile su svrstane i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koji se sada knjiže na kontu 2721.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Šifra 24 – Obveza za nabavu nefinancijske nema.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 xml:space="preserve">Šifra 27 –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– Radi se o </w:t>
      </w:r>
      <w:proofErr w:type="spellStart"/>
      <w:r>
        <w:t>jamčevnom</w:t>
      </w:r>
      <w:proofErr w:type="spellEnd"/>
      <w:r>
        <w:t xml:space="preserve"> pologu vezanom za projekt REEL INTERREG Italija – Hrvatska 2021.-2027. u iznosu 1.193,00 eura i obvezama po darovnim karticama u iznosu 1.221,40 eura.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144.137,24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142.621,90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Šifra 911 - Vlastiti su izvori na razini prošle godine i rezultat su provedene nove nabave, revizije knjižničnog fonda te provedenog godišnjeg ispravka.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-12.168,05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60.078,98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-493,7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Šifra 922 – Višak prihoda iznosi 60.078,98 eura.</w:t>
      </w:r>
    </w:p>
    <w:p w:rsidR="00BC2AD3" w:rsidRDefault="005245A8">
      <w:r>
        <w:t xml:space="preserve">Prema članku 215. Pravilnika o proračunskom računovodstvu i Računskom planu izvršena je obvezna korekcija rezultata pa se rezultat sastoji od viška prihoda poslovanja šifra 92211 u iznosu 34.015,46 eura i viška prihoda od nefinancijske imovine šifra 92212 </w:t>
      </w:r>
      <w:r>
        <w:t>u iznosu 26.063,52 eura.</w:t>
      </w:r>
    </w:p>
    <w:p w:rsidR="00BC2AD3" w:rsidRDefault="005245A8">
      <w:r>
        <w:t>Višak prihoda poslovanja u iznosu 146.066,27 eura sastoji se od: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2AD3">
        <w:tc>
          <w:tcPr>
            <w:tcW w:w="1666" w:type="pct"/>
            <w:vAlign w:val="center"/>
          </w:tcPr>
          <w:p w:rsidR="00BC2AD3" w:rsidRDefault="005245A8">
            <w:r>
              <w:t>1100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Opći prihodi i primici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11.551,89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3100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Vlastiti prihodi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14.535,89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4400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Prihodi za posebne namjene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52.615,10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5710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Pomoći iz državnog proračuna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320,00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6200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Donacije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15.888,72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9310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Višak - vlastiti prihodi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3.526,83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9440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Višak - Prihodi za posebne namjene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29.693,96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9620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Višak - Donacije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17.933,88</w:t>
            </w:r>
          </w:p>
        </w:tc>
      </w:tr>
    </w:tbl>
    <w:p w:rsidR="00BC2AD3" w:rsidRDefault="005245A8">
      <w:r>
        <w:t>Višak prihoda od nefinancijske imovine u iznosu 26.761,60 eura sastoji se od: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2AD3">
        <w:tc>
          <w:tcPr>
            <w:tcW w:w="1666" w:type="pct"/>
            <w:vAlign w:val="center"/>
          </w:tcPr>
          <w:p w:rsidR="00BC2AD3" w:rsidRDefault="005245A8">
            <w:r>
              <w:t>9310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Višak - Vlastiti prihodi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15.915,00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9440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Višak - Prihodi za posebne namjene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7.000,00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9620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Višak - Donacije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3.846,60</w:t>
            </w:r>
          </w:p>
        </w:tc>
      </w:tr>
    </w:tbl>
    <w:p w:rsidR="00BC2AD3" w:rsidRDefault="005245A8">
      <w:r>
        <w:t>Manjak prihoda poslovanja u iznosu 112.050,81 euro sastoji se od: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2AD3">
        <w:tc>
          <w:tcPr>
            <w:tcW w:w="1666" w:type="pct"/>
            <w:vAlign w:val="center"/>
          </w:tcPr>
          <w:p w:rsidR="00BC2AD3" w:rsidRDefault="005245A8">
            <w:r>
              <w:t>5750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Pomoći od međunarodnih organizacija  i tijela EU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13.204,96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9110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Manjak - opći prihodi i primici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73.038,96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9571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Manjak - Pomoći iz državnog proračuna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11.700,00</w:t>
            </w:r>
          </w:p>
        </w:tc>
      </w:tr>
      <w:tr w:rsidR="00BC2AD3">
        <w:tc>
          <w:tcPr>
            <w:tcW w:w="1666" w:type="pct"/>
            <w:vAlign w:val="center"/>
          </w:tcPr>
          <w:p w:rsidR="00BC2AD3" w:rsidRDefault="005245A8">
            <w:r>
              <w:t>9575</w:t>
            </w:r>
          </w:p>
        </w:tc>
        <w:tc>
          <w:tcPr>
            <w:tcW w:w="1666" w:type="pct"/>
            <w:vAlign w:val="center"/>
          </w:tcPr>
          <w:p w:rsidR="00BC2AD3" w:rsidRDefault="005245A8">
            <w:r>
              <w:t>Manjak - Pomoći od međunarodnih organizacija i tijela EU</w:t>
            </w:r>
          </w:p>
        </w:tc>
        <w:tc>
          <w:tcPr>
            <w:tcW w:w="1666" w:type="pct"/>
            <w:vAlign w:val="center"/>
          </w:tcPr>
          <w:p w:rsidR="00BC2AD3" w:rsidRDefault="005245A8">
            <w:pPr>
              <w:keepNext/>
              <w:jc w:val="right"/>
            </w:pPr>
            <w:r>
              <w:t>14.106,89</w:t>
            </w:r>
          </w:p>
        </w:tc>
      </w:tr>
    </w:tbl>
    <w:p w:rsidR="00BC2AD3" w:rsidRDefault="005245A8">
      <w:r>
        <w:t>Manjak prihoda od nefinancijske imovine u iznosu 698,08 je iz izvora 9110 - Manjak - O</w:t>
      </w:r>
      <w:r>
        <w:t>pći prihodi i primici.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Šifra 963 – Pomoći proračunskim korisnicima iz proračuna koji im nije nadležan -  odnosi na potraživanja od Hrvatskog audiovizualnog centra, a temeljem ugovora o sufinanciranju, sklopljenih 8. siječnja 2025. godine prema kojima će se preostalih 20% ugovore</w:t>
      </w:r>
      <w:r>
        <w:t>ne pomoći isplatiti po završetku projekta nakon podnesenog izvještaja. Sredstva će stići u 2026. godini.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253.576,48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1371,3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Šifra 996 - U vanbilančnim zapisima evidentirana je informatička i komunikacijska oprema Grada za koju je Art-kino zaduženo. Također, evidentirani su poslovni prostori kina koje nam je osnivač dao na korištenje te zadužnice izdane kao s</w:t>
      </w:r>
      <w:r>
        <w:t>redstva osiguranja plaćanja (distributeru, HŽ Infrastrukturi i Zagrebačkoj banci).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890.166,15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1.003.398,05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Stavka Služba kulture (Šifra 082) u iznosu od 1.003.398,05 eura sastoji se od:</w:t>
      </w:r>
    </w:p>
    <w:p w:rsidR="00BC2AD3" w:rsidRDefault="005245A8">
      <w:r>
        <w:t>-        Rashoda poslovanja  978.618,96 eura i</w:t>
      </w:r>
    </w:p>
    <w:p w:rsidR="00BC2AD3" w:rsidRDefault="005245A8">
      <w:r>
        <w:t>-        Rashoda za nabavu nefinancijske imovine 24.779,09 eura.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44.208,98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S 31.12.2025. proveden je ispravak vrijednosti nefinancijske imovine u  iznosu 44.208,98 eura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19.192,41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6,0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Temeljem Zapisnika o reviziji fonda knjižnice i odluke ravnateljice provedeno je usklađivanju analitičke evidencije s Glavnom knjigom 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C2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2A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BC2AD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C2AD3" w:rsidRDefault="005245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C2AD3" w:rsidRDefault="00BC2AD3">
      <w:pPr>
        <w:spacing w:after="0"/>
      </w:pPr>
    </w:p>
    <w:p w:rsidR="00BC2AD3" w:rsidRDefault="005245A8">
      <w:r>
        <w:t>V001                     Stanje obveza 1. siječnja                                                             93.345,04 eura</w:t>
      </w:r>
    </w:p>
    <w:p w:rsidR="00BC2AD3" w:rsidRDefault="005245A8">
      <w:r>
        <w:t>V002                     Povećanje obveza u izvještajnom razdoblju                          1.013.471,98 eura</w:t>
      </w:r>
    </w:p>
    <w:p w:rsidR="00BC2AD3" w:rsidRDefault="005245A8">
      <w:r>
        <w:t>V004                     Podmirene obveze u izvještajnom razdoblju                         1.033.539,96 eura</w:t>
      </w:r>
    </w:p>
    <w:p w:rsidR="00BC2AD3" w:rsidRDefault="005245A8">
      <w:r>
        <w:t>V006                     Stanje obvez</w:t>
      </w:r>
      <w:r>
        <w:t>a na kraju izvještajnog razdoblja                        73.277,06 eura</w:t>
      </w:r>
    </w:p>
    <w:p w:rsidR="00BC2AD3" w:rsidRDefault="005245A8">
      <w:r>
        <w:t> </w:t>
      </w:r>
    </w:p>
    <w:p w:rsidR="00BC2AD3" w:rsidRDefault="005245A8">
      <w:r>
        <w:t>Stanje obveza na kraju izvještajnog razdoblja u ukupnom iznosu 73.277,06 eura sastoji se od 3.780,66 eura dospjelih obveza i 69.496,40 eura nedospjelih obveza. Nedospjele obveze odno</w:t>
      </w:r>
      <w:r>
        <w:t xml:space="preserve">se se na obveze za rashode poslovanja (ND23) u iznosu 67.032,00 eura, na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(ND27) u iznosu 2.414,40 eura i na </w:t>
      </w:r>
      <w:r>
        <w:lastRenderedPageBreak/>
        <w:t>međusobne obveze subjekata općeg proračuna (V010) u iznosu 50,00. Dospjele obveze u i</w:t>
      </w:r>
      <w:r>
        <w:t>znosu 3.780,66 eura su u rasponu prekoračenja od 1 do 60 d. Iste su nastale zbog primitka računa nakon roka predviđenog za slanje zahtjeva za plaćanje u prosincu 2025. godinu (16.12.2025.), a s relativno kratkim rokom dospijeća pa su ušle u raspon prekorač</w:t>
      </w:r>
      <w:r>
        <w:t>enja od 1 do 60 d.</w:t>
      </w:r>
    </w:p>
    <w:p w:rsidR="00BC2AD3" w:rsidRDefault="005245A8">
      <w:r>
        <w:t>Šifra V003 - Međusobne obveze subjekata općeg proračuna odnose se na Grad Rijeku, Hrvatsko narodno kazalište, Hrvatski državni arhiv Zagreb, HŽ infrastruktura, Knjižnice grada Zagreba i Ustanova Zagreb film.</w:t>
      </w:r>
    </w:p>
    <w:p w:rsidR="00BC2AD3" w:rsidRDefault="00BC2AD3"/>
    <w:p w:rsidR="00BC2AD3" w:rsidRDefault="005245A8">
      <w:pPr>
        <w:keepNext/>
        <w:spacing w:line="240" w:lineRule="auto"/>
        <w:jc w:val="center"/>
      </w:pPr>
      <w:r>
        <w:rPr>
          <w:sz w:val="28"/>
        </w:rPr>
        <w:t>Bilješka 43.</w:t>
      </w:r>
    </w:p>
    <w:p w:rsidR="00BC2AD3" w:rsidRDefault="005245A8">
      <w:pPr>
        <w:spacing w:line="240" w:lineRule="auto"/>
        <w:jc w:val="both"/>
      </w:pPr>
      <w:r>
        <w:rPr>
          <w:b/>
        </w:rPr>
        <w:t>EU izvještaj</w:t>
      </w:r>
    </w:p>
    <w:p w:rsidR="00BC2AD3" w:rsidRDefault="005245A8">
      <w:r>
        <w:t>Radi se o projektu REEL - INTERREG Italija - Hrvatska 2021.- 2027. godina. Projekt je započeo u ožujku 2024. godine. Izvještajna razdoblja su svakih šest mjeseci. Dosada smo imali tri izvještajna razdoblja odnosno podnijeli smo tri Zahtjeva za nadoknadom s</w:t>
      </w:r>
      <w:r>
        <w:t>redstava. Od toga su dva bila u 2025. godini i oba su isplaćena.</w:t>
      </w:r>
    </w:p>
    <w:p w:rsidR="00BC2AD3" w:rsidRDefault="005245A8">
      <w:r>
        <w:t xml:space="preserve">S obzirom da se Izvještaj o EU sredstvima podnosi prvi put sada za razdoblje od 1. siječnja do 31. prosinca 2025. godine, ne možemo </w:t>
      </w:r>
      <w:proofErr w:type="spellStart"/>
      <w:r>
        <w:t>izvjestiti</w:t>
      </w:r>
      <w:proofErr w:type="spellEnd"/>
      <w:r>
        <w:t xml:space="preserve"> o promjenama u odnosu na prethodno izvještajno r</w:t>
      </w:r>
      <w:r>
        <w:t>azdoblje.</w:t>
      </w:r>
    </w:p>
    <w:p w:rsidR="00BC2AD3" w:rsidRDefault="00BC2AD3"/>
    <w:sectPr w:rsidR="00BC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D3"/>
    <w:rsid w:val="001646B4"/>
    <w:rsid w:val="005245A8"/>
    <w:rsid w:val="00B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D0E32-85E4-4F30-AB5C-9DCB4A18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Butorac Kušić Lidija</dc:creator>
  <cp:lastModifiedBy>Butorac Kušić Lidija</cp:lastModifiedBy>
  <cp:revision>2</cp:revision>
  <dcterms:created xsi:type="dcterms:W3CDTF">2026-01-28T17:24:00Z</dcterms:created>
  <dcterms:modified xsi:type="dcterms:W3CDTF">2026-01-28T17:24:00Z</dcterms:modified>
</cp:coreProperties>
</file>